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03" w:rsidRPr="00762A5F" w:rsidRDefault="003E6003" w:rsidP="003E600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kern w:val="36"/>
          <w:sz w:val="27"/>
          <w:szCs w:val="27"/>
          <w:lang w:eastAsia="hu-HU"/>
        </w:rPr>
      </w:pPr>
      <w:r w:rsidRPr="00762A5F">
        <w:rPr>
          <w:rFonts w:ascii="Arial" w:hAnsi="Arial" w:cs="Arial"/>
          <w:b/>
          <w:color w:val="6E7075"/>
          <w:sz w:val="23"/>
          <w:szCs w:val="23"/>
          <w:shd w:val="clear" w:color="auto" w:fill="FFFFFF"/>
        </w:rPr>
        <w:t>PÉNTEK, 2023.</w:t>
      </w:r>
      <w:r>
        <w:rPr>
          <w:rFonts w:ascii="Arial" w:hAnsi="Arial" w:cs="Arial"/>
          <w:b/>
          <w:color w:val="6E7075"/>
          <w:sz w:val="23"/>
          <w:szCs w:val="23"/>
          <w:shd w:val="clear" w:color="auto" w:fill="FFFFFF"/>
        </w:rPr>
        <w:t>06.09</w:t>
      </w:r>
      <w:r w:rsidRPr="00762A5F">
        <w:rPr>
          <w:rFonts w:ascii="Arial" w:hAnsi="Arial" w:cs="Arial"/>
          <w:b/>
          <w:color w:val="6E7075"/>
          <w:sz w:val="23"/>
          <w:szCs w:val="23"/>
          <w:shd w:val="clear" w:color="auto" w:fill="FFFFFF"/>
        </w:rPr>
        <w:t xml:space="preserve">. – </w:t>
      </w:r>
      <w:proofErr w:type="spellStart"/>
      <w:r w:rsidRPr="00762A5F">
        <w:rPr>
          <w:rFonts w:ascii="Arial" w:hAnsi="Arial" w:cs="Arial"/>
          <w:b/>
          <w:color w:val="6E7075"/>
          <w:sz w:val="23"/>
          <w:szCs w:val="23"/>
          <w:shd w:val="clear" w:color="auto" w:fill="FFFFFF"/>
        </w:rPr>
        <w:t>Scope</w:t>
      </w:r>
      <w:proofErr w:type="spellEnd"/>
      <w:r w:rsidRPr="00762A5F">
        <w:rPr>
          <w:rFonts w:ascii="Arial" w:hAnsi="Arial" w:cs="Arial"/>
          <w:b/>
          <w:color w:val="6E7075"/>
          <w:sz w:val="23"/>
          <w:szCs w:val="23"/>
          <w:shd w:val="clear" w:color="auto" w:fill="FFFFFF"/>
        </w:rPr>
        <w:t xml:space="preserve"> </w:t>
      </w:r>
      <w:proofErr w:type="spellStart"/>
      <w:r w:rsidRPr="00762A5F">
        <w:rPr>
          <w:rFonts w:ascii="Arial" w:hAnsi="Arial" w:cs="Arial"/>
          <w:b/>
          <w:color w:val="6E7075"/>
          <w:sz w:val="23"/>
          <w:szCs w:val="23"/>
          <w:shd w:val="clear" w:color="auto" w:fill="FFFFFF"/>
        </w:rPr>
        <w:t>Ratings</w:t>
      </w:r>
      <w:proofErr w:type="spellEnd"/>
      <w:r w:rsidRPr="00762A5F">
        <w:rPr>
          <w:rFonts w:ascii="Arial" w:hAnsi="Arial" w:cs="Arial"/>
          <w:b/>
          <w:color w:val="6E7075"/>
          <w:sz w:val="23"/>
          <w:szCs w:val="23"/>
          <w:shd w:val="clear" w:color="auto" w:fill="FFFFFF"/>
        </w:rPr>
        <w:t xml:space="preserve"> GmbH</w:t>
      </w:r>
    </w:p>
    <w:p w:rsidR="003E6003" w:rsidRDefault="003E6003" w:rsidP="003E600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27"/>
          <w:szCs w:val="27"/>
          <w:lang w:eastAsia="hu-HU"/>
        </w:rPr>
      </w:pPr>
    </w:p>
    <w:p w:rsidR="003E6003" w:rsidRPr="00FC39AB" w:rsidRDefault="003E6003" w:rsidP="003E600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kern w:val="36"/>
          <w:sz w:val="27"/>
          <w:szCs w:val="27"/>
          <w:lang w:eastAsia="hu-HU"/>
        </w:rPr>
      </w:pPr>
      <w:r w:rsidRPr="00FC39AB">
        <w:rPr>
          <w:rFonts w:ascii="Arial" w:eastAsia="Times New Roman" w:hAnsi="Arial" w:cs="Arial"/>
          <w:b/>
          <w:kern w:val="36"/>
          <w:sz w:val="27"/>
          <w:szCs w:val="27"/>
          <w:lang w:eastAsia="hu-HU"/>
        </w:rPr>
        <w:t xml:space="preserve">A hatókör a </w:t>
      </w:r>
      <w:proofErr w:type="spellStart"/>
      <w:r w:rsidRPr="00FC39AB">
        <w:rPr>
          <w:rFonts w:ascii="Arial" w:eastAsia="Times New Roman" w:hAnsi="Arial" w:cs="Arial"/>
          <w:b/>
          <w:kern w:val="36"/>
          <w:sz w:val="27"/>
          <w:szCs w:val="27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b/>
          <w:kern w:val="36"/>
          <w:sz w:val="27"/>
          <w:szCs w:val="2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b/>
          <w:kern w:val="36"/>
          <w:sz w:val="27"/>
          <w:szCs w:val="27"/>
          <w:lang w:eastAsia="hu-HU"/>
        </w:rPr>
        <w:t>Zrt</w:t>
      </w:r>
      <w:proofErr w:type="spellEnd"/>
      <w:r w:rsidRPr="00FC39AB">
        <w:rPr>
          <w:rFonts w:ascii="Arial" w:eastAsia="Times New Roman" w:hAnsi="Arial" w:cs="Arial"/>
          <w:b/>
          <w:kern w:val="36"/>
          <w:sz w:val="27"/>
          <w:szCs w:val="27"/>
          <w:lang w:eastAsia="hu-HU"/>
        </w:rPr>
        <w:t>. B+/</w:t>
      </w:r>
      <w:proofErr w:type="spellStart"/>
      <w:r w:rsidRPr="00FC39AB">
        <w:rPr>
          <w:rFonts w:ascii="Arial" w:eastAsia="Times New Roman" w:hAnsi="Arial" w:cs="Arial"/>
          <w:b/>
          <w:kern w:val="36"/>
          <w:sz w:val="27"/>
          <w:szCs w:val="27"/>
          <w:lang w:eastAsia="hu-HU"/>
        </w:rPr>
        <w:t>Stable</w:t>
      </w:r>
      <w:proofErr w:type="spellEnd"/>
      <w:r w:rsidRPr="00FC39AB">
        <w:rPr>
          <w:rFonts w:ascii="Arial" w:eastAsia="Times New Roman" w:hAnsi="Arial" w:cs="Arial"/>
          <w:b/>
          <w:kern w:val="36"/>
          <w:sz w:val="27"/>
          <w:szCs w:val="27"/>
          <w:lang w:eastAsia="hu-HU"/>
        </w:rPr>
        <w:t xml:space="preserve"> kibocsátói minősítését erősíti meg.</w:t>
      </w:r>
    </w:p>
    <w:p w:rsidR="003E6003" w:rsidRDefault="003E6003" w:rsidP="003E6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A6A"/>
          <w:sz w:val="23"/>
          <w:szCs w:val="23"/>
          <w:lang w:eastAsia="hu-HU"/>
        </w:rPr>
      </w:pP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A minősítés a vállalat megfelelő összköltség-fedezetét és kiegyensúlyozott finanszírozási szerkezetét tükrözi, csak mérsékelt pénzügyi adósság mellett.</w:t>
      </w:r>
    </w:p>
    <w:p w:rsidR="003E6003" w:rsidRPr="00FC39AB" w:rsidRDefault="003E6003" w:rsidP="003E60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A6A"/>
          <w:sz w:val="23"/>
          <w:szCs w:val="23"/>
          <w:lang w:eastAsia="hu-HU"/>
        </w:rPr>
      </w:pPr>
    </w:p>
    <w:p w:rsidR="003E6003" w:rsidRPr="00FC39AB" w:rsidRDefault="003E6003" w:rsidP="003E6003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6A6A6A"/>
          <w:sz w:val="24"/>
          <w:szCs w:val="24"/>
          <w:lang w:eastAsia="hu-HU"/>
        </w:rPr>
      </w:pPr>
      <w:r w:rsidRPr="00FC39AB">
        <w:rPr>
          <w:rFonts w:ascii="Arial" w:eastAsia="Times New Roman" w:hAnsi="Arial" w:cs="Arial"/>
          <w:color w:val="6A6A6A"/>
          <w:sz w:val="24"/>
          <w:szCs w:val="24"/>
          <w:lang w:eastAsia="hu-HU"/>
        </w:rPr>
        <w:t>Értékelési művelet</w:t>
      </w:r>
    </w:p>
    <w:p w:rsidR="003E6003" w:rsidRPr="00FC39AB" w:rsidRDefault="003E6003" w:rsidP="003E600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A6A6A"/>
          <w:sz w:val="23"/>
          <w:szCs w:val="23"/>
          <w:lang w:eastAsia="hu-HU"/>
        </w:rPr>
      </w:pP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Ratings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GmbH (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) a mai napon megerősítette B+/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Stable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kibocsátói besorolását a magyarországi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Zrt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.-n. 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megerősítette B+ besorolását az elsőbbségi fedezetlen adósság kategóriában is.</w:t>
      </w:r>
    </w:p>
    <w:p w:rsidR="003E6003" w:rsidRPr="00FC39AB" w:rsidRDefault="003E6003" w:rsidP="003E6003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6A6A6A"/>
          <w:sz w:val="24"/>
          <w:szCs w:val="24"/>
          <w:lang w:eastAsia="hu-HU"/>
        </w:rPr>
      </w:pPr>
      <w:r w:rsidRPr="00FC39AB">
        <w:rPr>
          <w:rFonts w:ascii="Arial" w:eastAsia="Times New Roman" w:hAnsi="Arial" w:cs="Arial"/>
          <w:color w:val="6A6A6A"/>
          <w:sz w:val="24"/>
          <w:szCs w:val="24"/>
          <w:lang w:eastAsia="hu-HU"/>
        </w:rPr>
        <w:t>Értékelés indoklása</w:t>
      </w:r>
    </w:p>
    <w:p w:rsidR="003E6003" w:rsidRPr="00FC39AB" w:rsidRDefault="003E6003" w:rsidP="003E600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A6A6A"/>
          <w:sz w:val="23"/>
          <w:szCs w:val="23"/>
          <w:lang w:eastAsia="hu-HU"/>
        </w:rPr>
      </w:pP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A kibocsátói minősítés megerősítését támasztja alá a megfelelő összköltség-fedezettség és a kiegyensúlyozott finanszírozási struktúra, csak mérsékelt külső pénzügyi adóssággal. A kibocsátói minősítést továbbra is korlátozza a korlátozott bruttó eszközérték, valamint a különböző üzletágakat, kereszttulajdonlást és finanszírozási struktúrákat tartalmazó összetett struktúra (hitelnegatív ESG-tényező).</w:t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  <w:t xml:space="preserve">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az újonnan közzétett befektetési holdingtársaságok minősítési módszerét alkalmazta 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vállalati hitelminőségének értékelésére. 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üzleti modellje mind a befektetési holdingtársaságokra, mind a csoportos vállalatokra jellemző jellemzőket mutat. A kisebbségi és többségi részesedés kombinációja, valamint az osztalék és a kezelési díjak átvétele a befektetési holdingok jellemzőihez igazodik. Másrészt az olyan megosztott szolgáltatások nyújtása, mint az IT és a HR, vállalati csoportstruktúrát jelez.</w:t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  <w:t xml:space="preserve">Figyelembe véve 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hosszú távú befektetési megközelítését stratégiai portfóliójában, az opportunista eszközök, például a kereskedelmi ingatlanok lehetséges rotációjával és a portfólióvállalatok szintjén a vezetői döntésekre gyakorolt ​​korlátozott befolyással, 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megállapította, hogy a befektetések birtoklási módszertanának folytatása megfelelő az értékeléshez. 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hitelminősége.</w:t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</w:r>
      <w:proofErr w:type="gram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A befektetési tartási módszertan a vállalat befektetési filozófiáját is figyelembe veszi, mint további tényezőt az üzleti kockázati profil értékelése során. Fontos azonban megjegyezni, hogy a portfólió értékének alakulása korlátozott 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által a helyi, általánosan elfogadott számviteli elvek és a költségalapú elszámolás alapján történő jelentése miatt. Ez korlátozza a vállalat azon képességét, hogy növelje portfólió értékét. Ezen túlmenően, az elemzett időszak alatti korlátozott értékesítések korlátozzák a menedzsment kompetenciájának és a társaság eszközeinek rotációjának megítélését.</w:t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  <w:t>A</w:t>
      </w:r>
      <w:proofErr w:type="gram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üzleti kockázati profilját a következők korlátozzák:</w:t>
      </w:r>
    </w:p>
    <w:p w:rsidR="003E6003" w:rsidRPr="00FC39AB" w:rsidRDefault="003E6003" w:rsidP="003E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sz w:val="23"/>
          <w:szCs w:val="23"/>
          <w:lang w:eastAsia="hu-HU"/>
        </w:rPr>
      </w:pP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portfólió fenntarthatósága: a társaság nagymértékben támaszkodik a BAV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Zrt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. pénzbeáramlására, amely a teljes pénzbeáramlás több mint 70%-át teszi ki, és kockázatot jelent 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portfóliójának fenntarthatóságára nézve. Bármilyen </w:t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lastRenderedPageBreak/>
        <w:t xml:space="preserve">kedvezőtlen fejlemény vagy változás a BAV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Zrt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. pénzügyi teljesítményében jelentős hatással lehet 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cash flow stabilitására és általános portfólió fenntarthatóságára.</w:t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</w:r>
    </w:p>
    <w:p w:rsidR="003E6003" w:rsidRPr="00FC39AB" w:rsidRDefault="003E6003" w:rsidP="003E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sz w:val="23"/>
          <w:szCs w:val="23"/>
          <w:lang w:eastAsia="hu-HU"/>
        </w:rPr>
      </w:pP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portfólió likviditása: 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befektetési stratégiája nagy hangsúlyt fektet a nem jegyzett eszközökre. Az ilyen eszközökbe történő befektetés likviditási kihívásokat jelenthet. A nem jegyzett eszközök általában korlátozott kereskedési platformokkal rendelkeznek, ami megnehezíti a pozíciók gyors eladását vagy kilépését. Ez a likviditáshiány akadályozhatja 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azon képességét, hogy módosítsa portfólióját, vagy kezelje a váratlan pénzforgalmi követelményeket.</w:t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</w:r>
    </w:p>
    <w:p w:rsidR="003E6003" w:rsidRPr="00FC39AB" w:rsidRDefault="003E6003" w:rsidP="003E6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sz w:val="23"/>
          <w:szCs w:val="23"/>
          <w:lang w:eastAsia="hu-HU"/>
        </w:rPr>
      </w:pP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földrajzi diverzifikáció: 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törzsrészvényeinek tevékenysége túlnyomórészt a magyar piacon koncentrálódik. A földrajzi diverzifikáció hiánya a helyi gazdasági feltételekkel, a szabályozási változásokkal és egyéb piacspecifikus tényezőkkel kapcsolatos kockázatoknak teszi ki a vállalatot. A földrajzi diverzifikáció fokozása segíthet csökkenteni ezeket a kockázatokat, és kiegyensúlyozottabb kockázati profilt biztosít.</w:t>
      </w:r>
    </w:p>
    <w:p w:rsidR="003E6003" w:rsidRPr="00FC39AB" w:rsidRDefault="003E6003" w:rsidP="003E600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A6A6A"/>
          <w:sz w:val="23"/>
          <w:szCs w:val="23"/>
          <w:lang w:eastAsia="hu-HU"/>
        </w:rPr>
      </w:pP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A hatályos ingatlanállomány tervezett korszerűsítésében és felújításában elhúzódó beruházásokat 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nem tekinti nem hatékony gazdálkodásnak. Ehelyett a 2022-ben tapasztalt gazdasági recessziót követő óvatos költekezési mintát tükrözik. Ez azonban a puha szövetség megszegését jelezheti, mivel a meglévő ingatlanok felújítására és korszerűsítésére szánt kötvénybevételekből származó részleges készpénzt az ingatlanalapban parkolták. két évig.</w:t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</w:r>
      <w:proofErr w:type="gram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tárgyalásokat kezdeményezett a kötvénytulajdonosokkal a kötvénybevételek ingatlanrészlegen belüli felhasználásának javasolt változtatásáról. A társaság a közelmúltban egy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újradefiniált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befektetési stratégiát hajtott végre, amely egy teljesen működőképes eszközökből álló portfóliót foglal magában, amelyek jelenleg cash flow-t generálnak. 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értékelte ezt a módosított stratégiát, és nem lát előre negatív hatást a társaság kibocsátói minősítésére. Valójában a felülvizsgált stratégia számos lehetséges előnnyel jár: i) a meglévő eszközökre összpontosítva kiküszöböli a fejlesztési</w:t>
      </w:r>
      <w:proofErr w:type="gram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</w:t>
      </w:r>
      <w:proofErr w:type="gram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kockázatot</w:t>
      </w:r>
      <w:proofErr w:type="gram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; és ii) azonnali pénzáramlást tesz lehetővé, szemben a felújítási projektekkel, ahol a pénzforgalom jellemzően csak a vezeték elkészülte után indul be, ami általában három-négy évig tart.</w:t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  <w:t>A hatókör becslései szerint a teljes költségfedezet 1,0-szerese felett marad a következő néhány évben, amit a következők támasztanak alá: i) az alapvető részesedések szintjén alkalmazott kezelési díjak viszonylag stabil jellege; ii) a részvényesi kölcsönök nagyjából stabil nettó kamata; iii) újraindult osztalékfizetés a fő portfóliótársaságoktól (azaz zálogkölcsönök, földi szállítás); és iv. nem nőtt jelentős mértékben a kötvények által biztosított osztalékfizetés.</w:t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  <w:t>A likviditás továbbra is megfelelő. A rövid lejáratú adósság hiánya, a pozitív szabad működési cash flow és a 2022-es pénzügyi évre vonatkozó jelentős, mintegy 0,6 milliárd forintos készpénzpuffer miatt nem áll fenn olyan refinanszírozási kockázat, amely szükségessé tenné a részesedések értékesítését.</w:t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  <w:t>A hitelminősítési intézkedés egy vagy több kulcsfontosságú tényezője ESG-tényezőnek minősül.</w:t>
      </w:r>
    </w:p>
    <w:p w:rsidR="003E6003" w:rsidRPr="00FC39AB" w:rsidRDefault="003E6003" w:rsidP="003E6003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6A6A6A"/>
          <w:sz w:val="24"/>
          <w:szCs w:val="24"/>
          <w:lang w:eastAsia="hu-HU"/>
        </w:rPr>
      </w:pPr>
      <w:r w:rsidRPr="00FC39AB">
        <w:rPr>
          <w:rFonts w:ascii="Arial" w:eastAsia="Times New Roman" w:hAnsi="Arial" w:cs="Arial"/>
          <w:color w:val="6A6A6A"/>
          <w:sz w:val="24"/>
          <w:szCs w:val="24"/>
          <w:lang w:eastAsia="hu-HU"/>
        </w:rPr>
        <w:lastRenderedPageBreak/>
        <w:t>Az Outlook és a minősítést módosító illesztőprogramok</w:t>
      </w:r>
    </w:p>
    <w:p w:rsidR="003E6003" w:rsidRPr="00FC39AB" w:rsidRDefault="003E6003" w:rsidP="003E600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A6A6A"/>
          <w:sz w:val="23"/>
          <w:szCs w:val="23"/>
          <w:lang w:eastAsia="hu-HU"/>
        </w:rPr>
      </w:pPr>
      <w:proofErr w:type="gram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A kilátások stabilak, és 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azon nézetét tükrözik, hogy a társaságnak középtávon ismétlődően 1,0x feletti fedezetet kell tartania a kötelező tartási költségekre. 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Magyar Központi Bank Kötvényprogramja keretében kibocsátott elsőbbségi fedezetlen kötvénye gyorsított visszafizetési záradékkal rendelkezik. A záradék értelmében 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köteles 90 napon belül visszafizetni a névleges összeget (15 milliárd forint), ha a kötvény besorolása B- alá csökken, aminek nemteljesítési vonzata lehet.</w:t>
      </w:r>
      <w:proofErr w:type="gram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  <w:t>Pozitív minősítési lépés indokolt lehet a portfólió fenntarthatóságának és/vagy a portfólió likviditásának javulása esetén.</w:t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  <w:t xml:space="preserve">A negatív minősítési intézkedés akkor indokolt, ha az átláthatóság középtávon korlátozott marad, elsősorban a bonyolult szervezeti struktúra miatt, és/vagy ha a teljes költségfedezet tartósan 1,0-szeres alá csökken. Ez akkor fordulhat elő, ha az osztalékot fizető vállalkozások pénzügyi helyzete jelentősen romlik, ami helyreállítási programot tesz szükségessé és/vagy korlátozza azon képességüket, hogy osztalékot vagy kezelési díjat fizessenek 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számára.</w:t>
      </w:r>
    </w:p>
    <w:p w:rsidR="003E6003" w:rsidRPr="00FC39AB" w:rsidRDefault="003E6003" w:rsidP="003E6003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6A6A6A"/>
          <w:sz w:val="24"/>
          <w:szCs w:val="24"/>
          <w:lang w:eastAsia="hu-HU"/>
        </w:rPr>
      </w:pPr>
      <w:r w:rsidRPr="00FC39AB">
        <w:rPr>
          <w:rFonts w:ascii="Arial" w:eastAsia="Times New Roman" w:hAnsi="Arial" w:cs="Arial"/>
          <w:color w:val="6A6A6A"/>
          <w:sz w:val="24"/>
          <w:szCs w:val="24"/>
          <w:lang w:eastAsia="hu-HU"/>
        </w:rPr>
        <w:t>Hosszú távú adósságminősítés</w:t>
      </w:r>
    </w:p>
    <w:p w:rsidR="003E6003" w:rsidRPr="00FC39AB" w:rsidRDefault="003E6003" w:rsidP="003E600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A6A6A"/>
          <w:sz w:val="23"/>
          <w:szCs w:val="23"/>
          <w:lang w:eastAsia="hu-HU"/>
        </w:rPr>
      </w:pPr>
      <w:proofErr w:type="gram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a 15,0 b Ft-os (ISIN HU0000359955) kötvényt is B+-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ra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erősítette. Ez azt tükrözi, hogy 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„kiemelkedőbb” behajtásra számít az elsőbbségi fedezetlen adósság esetében a vállalat nemteljesítése esetén. A megtérülési elemzés egy 2025-ös hipotetikus nemteljesítési forgatókönyvön alapul, amely 15,0 milliárd forint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kintlévő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elsőbbségi fedezetlen adósságot feltételez elsőbbségi fedezett hitelek nélkül. A kötvénybevétel fele (7,5 milliárd forint) már megtörtént az ingatlanbefektetésekre fókuszálva; a többit a nyíltvégű ingatlanalapba fektették be.</w:t>
      </w:r>
      <w:proofErr w:type="gram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</w:r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br/>
        <w:t xml:space="preserve">A hatály az adósságkategória besorolását a kibocsátó besorolásával azonos szintre korlátozta, mivel fennállt a kockázata annak, hogy a </w:t>
      </w:r>
      <w:proofErr w:type="spellStart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>Lexholding</w:t>
      </w:r>
      <w:proofErr w:type="spellEnd"/>
      <w:r w:rsidRPr="00FC39AB">
        <w:rPr>
          <w:rFonts w:ascii="Arial" w:eastAsia="Times New Roman" w:hAnsi="Arial" w:cs="Arial"/>
          <w:color w:val="6A6A6A"/>
          <w:sz w:val="23"/>
          <w:szCs w:val="23"/>
          <w:lang w:eastAsia="hu-HU"/>
        </w:rPr>
        <w:t xml:space="preserve"> magasabb besorolású adósságot emelhet, ami gyengítené az elsőbbségi fedezetlen adósok behajtását.</w:t>
      </w:r>
    </w:p>
    <w:p w:rsidR="003E6003" w:rsidRPr="00FC39AB" w:rsidRDefault="003E6003" w:rsidP="003E600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A6A6A"/>
          <w:sz w:val="23"/>
          <w:szCs w:val="23"/>
          <w:lang w:eastAsia="hu-HU"/>
        </w:rPr>
      </w:pPr>
      <w:r w:rsidRPr="00FC39AB">
        <w:rPr>
          <w:rFonts w:ascii="Arial" w:eastAsia="Times New Roman" w:hAnsi="Arial" w:cs="Arial"/>
          <w:b/>
          <w:bCs/>
          <w:color w:val="6A6A6A"/>
          <w:sz w:val="17"/>
          <w:szCs w:val="17"/>
          <w:lang w:eastAsia="hu-HU"/>
        </w:rPr>
        <w:t>Stresszteszt és cash flow elemzés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  <w:t xml:space="preserve">Nem végeztünk stressztesztet. 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Ratings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elvégezte a szokásos cash flow előrejelzését a vállalat számára.</w:t>
      </w:r>
    </w:p>
    <w:p w:rsidR="003E6003" w:rsidRPr="00FC39AB" w:rsidRDefault="003E6003" w:rsidP="003E600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A6A6A"/>
          <w:sz w:val="23"/>
          <w:szCs w:val="23"/>
          <w:lang w:eastAsia="hu-HU"/>
        </w:rPr>
      </w:pPr>
      <w:r w:rsidRPr="00FC39AB">
        <w:rPr>
          <w:rFonts w:ascii="Arial" w:eastAsia="Times New Roman" w:hAnsi="Arial" w:cs="Arial"/>
          <w:b/>
          <w:bCs/>
          <w:color w:val="6A6A6A"/>
          <w:sz w:val="17"/>
          <w:szCs w:val="17"/>
          <w:lang w:eastAsia="hu-HU"/>
        </w:rPr>
        <w:t>Módszertan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  <w:t>Az ezekhez a hitelminősítésekhez és/vagy kilátásokhoz használt módszerek (Általános Vállalati Minősítési Módszertan, 2022. július 15</w:t>
      </w:r>
      <w:proofErr w:type="gram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.;</w:t>
      </w:r>
      <w:proofErr w:type="gram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Befektetési holdingtársaságok módszertana, 2023. május 19.) a https://scoperatings.com/governance-and-policies/ oldalon érhetők el. </w:t>
      </w:r>
      <w:proofErr w:type="gram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minősítés-irányítás</w:t>
      </w:r>
      <w:proofErr w:type="gram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/módszerek.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  <w:t xml:space="preserve">Az egyes hitelminősítési kategóriák jelentésével kapcsolatos információk, ideértve a nemteljesítés, a helyreállítás, az előrejelzések és a felülvizsgálat alatti definícióit, megtekinthetők a „Minősítési definíciók – hitelminősítések, kiegészítő és egyéb szolgáltatások” című részben, amely a https://www.scoperatings.com oldalon található. </w:t>
      </w:r>
      <w:proofErr w:type="gram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/governance-and-policies/rating-governance/definitions-and-scales. 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Ratings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által minősített entitások korábbi nemteljesítési arányai megtekinthetők a Hitelminősítési teljesítményről szóló jelentésben a https://scoperatings.com/governance-and-policies/regulatory/eu-regulation címen. Lásd még az Európai Értékpapír-piaci Hatóság (ESMA) központi platformját (CEREP): http://cerep.esma.europa.eu/cerep-web/statistics/defaults.xhtml. 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Ratings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nemteljesítési és hitelminősítési jelöléseinek átfogó magyarázata a https://www.scoperatings oldalon található. com/governance-and-policies/rating-governance/definitions-and-scales. A</w:t>
      </w:r>
      <w:proofErr w:type="gram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gram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környezeti</w:t>
      </w:r>
      <w:proofErr w:type="gram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, társadalmi vagy irányítási tényezők (ESG-tényezők) a hitelminősítésbe való beépítésére vonatkozó útmutatás és információ a https://scoperatings.com/governance-and-policies/ oldalon található módszerek vagy útmutató dokumentumok megfelelő szakaszaiban található. minősítés-irányítás/módszerek.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  <w:t>Az Outlook a hitelminősítések legvalószínűbb irányát jelzi, ha a hitelminősítések megváltoznának a következő 12-18 hónapon belül.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</w:r>
      <w:r w:rsidRPr="00FC39AB">
        <w:rPr>
          <w:rFonts w:ascii="Arial" w:eastAsia="Times New Roman" w:hAnsi="Arial" w:cs="Arial"/>
          <w:b/>
          <w:bCs/>
          <w:color w:val="6A6A6A"/>
          <w:sz w:val="17"/>
          <w:szCs w:val="17"/>
          <w:lang w:eastAsia="hu-HU"/>
        </w:rPr>
        <w:t>Felkérés, kulcsfontosságú információforrások és információk minősége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lastRenderedPageBreak/>
        <w:t>A hitelminősítéseket a minősített szervezet vagy annak kapcsolódó harmadik felei nem kérték. A hitelminősítési folyamat lebonyolítása: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  <w:t>Minősített szervezet vagy Kapcsolódó Harmadik Fél részvételével IGEN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  <w:t>Belső dokumentumokhoz való hozzáféréssel IGEN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  <w:t>Menedzsment hozzáféréssel IGEN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  <w:t xml:space="preserve">A hitelminősítések elkészítéséhez a következő, lényegében lényeges információforrásokat használtuk fel: közkincs, a minősített szervezet, ill. 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Ratings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belső forrásai.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  <w:t xml:space="preserve">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Ratings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Ratings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rendelkezésére álló információk minőségét a minősített szervezetről vagy eszközről kielégítőnek tartja. A hitelminősítéseket alátámasztó információk és adatok olyan forrásokból származnak, amelyeket 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Ratings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megbízhatónak és pontosnak tart. 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Ratings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azonban nem ellenőrzi függetlenül az információk és adatok megbízhatóságát és pontosságát.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  <w:t>A hitelminősítési intézkedés kibocsátása előtt a minősített szervezet lehetőséget kapott a hitelminősítések és/vagy kilátások, valamint a hitelminősítések és/vagy kilátások alapjául szolgáló fő indokok áttekintésére. Ezt a felülvizsgálatot követően a hitelminősítéseket a kiadás előtt nem módosították.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</w:r>
      <w:r w:rsidRPr="00FC39AB">
        <w:rPr>
          <w:rFonts w:ascii="Arial" w:eastAsia="Times New Roman" w:hAnsi="Arial" w:cs="Arial"/>
          <w:b/>
          <w:bCs/>
          <w:color w:val="6A6A6A"/>
          <w:sz w:val="17"/>
          <w:szCs w:val="17"/>
          <w:lang w:eastAsia="hu-HU"/>
        </w:rPr>
        <w:t>Szabályozási közzétételek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  <w:t xml:space="preserve">Ezeket a hitelminősítéseket és/vagy kilátásokat 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Ratings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GmbH bocsátja ki,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Lennéstraße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5, D-10785 Berlin, Tel +49 30 27891-0. A hitelminősítések és/vagy kilátások az Egyesült Királyság által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jóváhagyottak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.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  <w:t xml:space="preserve">Vezető elemző: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Zurab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Zedelashvili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, társigazgató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  <w:t xml:space="preserve">A hitelminősítések jóváhagyásáért felelős személy: Olaf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Tölke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, ügyvezető igazgató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  <w:t xml:space="preserve">A hitelminősítéseket/kilátásokat először 2020. július 6-án tette közzé 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Ratings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. A hitelminősítéseket/kilátásokat legutóbb 2021. július 8-án frissítették. Lehetséges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</w:r>
      <w:r w:rsidRPr="00FC39AB">
        <w:rPr>
          <w:rFonts w:ascii="Arial" w:eastAsia="Times New Roman" w:hAnsi="Arial" w:cs="Arial"/>
          <w:b/>
          <w:bCs/>
          <w:color w:val="6A6A6A"/>
          <w:sz w:val="17"/>
          <w:szCs w:val="17"/>
          <w:lang w:eastAsia="hu-HU"/>
        </w:rPr>
        <w:t>konfliktusok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  <w:t>A hitelminősítések kiadásával kapcsolatos lehetséges összeférhetetlenségi információk listáját a www.scoperatings.com Irányítás és politikák/Szabályozás alatt találja meg.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</w:r>
      <w:proofErr w:type="gramStart"/>
      <w:r w:rsidRPr="00FC39AB">
        <w:rPr>
          <w:rFonts w:ascii="Arial" w:eastAsia="Times New Roman" w:hAnsi="Arial" w:cs="Arial"/>
          <w:b/>
          <w:bCs/>
          <w:color w:val="6A6A6A"/>
          <w:sz w:val="17"/>
          <w:szCs w:val="17"/>
          <w:lang w:eastAsia="hu-HU"/>
        </w:rPr>
        <w:t>Felhasználási feltételek/felelősség kizárása</w:t>
      </w:r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br/>
        <w:t xml:space="preserve">© 2023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SE &amp; Co.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KGaA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és összes leányvállalata, beleértve 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Ratings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GmbH-t, 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Ratings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UK Limited-et, 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Fund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Analysis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GmbH-t, 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Investor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Services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GmbH-t és 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ESG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Analysis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GmbH-t (együttesen: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). Minden jog fenntartva. 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minősítéseit, minősítési jelentéseit, minősítési véleményeit, valamint a kapcsolódó kutatásokat és hitelezési véleményeket alátámasztó információk és adatok olyan forrásokból származnak, amelyeket 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megbízhatónak és pontosnak tart. A hatókör azonban nem ellenőrzi függetlenül az információk</w:t>
      </w:r>
      <w:proofErr w:type="gram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gram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és adatok megbízhatóságát és pontosságát. 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minősítései, minősítési jelentései, minősítési véleményei vagy a kapcsolódó kutatási és hitelezési vélemények „ahogy vannak”, mindenféle nyilatkozat vagy garancia nélkül. 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vagy annak igazgatói, tisztségviselői, alkalmazottai és egyéb képviselői semmilyen körülmények között nem felelősek egyik féllel szemben sem közvetlen, közvetett, 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értékeléseinek, minősítési jelentéseinek, minősítési véleményeinek, kapcsolódó kutatásainak vagy hitelezési véleményeinek bármilyen felhasználásából eredő esetleges vagy egyéb károk, költségek vagy veszteségek. A</w:t>
      </w:r>
      <w:proofErr w:type="gram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proofErr w:type="gram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által kiadott minősítések és egyéb kapcsolódó hitelezési vélemények a relatív hitelkockázatra vonatkozó véleménynek minősülnek, és azokat bármely félnek úgy kell tekintenie, mint ténynyilatkozatot vagy értékpapírok vásárlására, tartására vagy eladására vonatkozó ajánlást. A múltbeli teljesítmény nem feltétlenül jelzi előre a jövőbeli eredményeket. 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által kibocsátott jelentések nem minősülnek hitelviszonyt megtestesítő értékpapírhoz vagy kibocsátó szervezethez kapcsolódó tájékoztatónak vagy hasonló dokumentumnak. 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hitelminősítéseket és kapcsolódó kutatásokat és véleményeket</w:t>
      </w:r>
      <w:proofErr w:type="gram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gram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ad ki azzal a tudattal és elvárással, hogy az azokat használó felek függetlenül értékeljék az egyes értékpapírok befektetési vagy tranzakciós célokra való alkalmasságát. 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hitelminősítései a relatív hitelkockázatra vonatkoznak, nem foglalkoznak más kockázatokkal, például piaci, likviditási, jogi vagy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volatilitási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kockázatokkal. Az itt szereplő információkat és adatokat szerzői jogi és egyéb törvények védik. Az itt található információk és adatok reprodukálásához, továbbításához, átviteléhez, terjesztéséhez, lefordításához,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továbbértékesítéséhez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vagy későbbi felhasználásra történő tárolásához,</w:t>
      </w:r>
      <w:proofErr w:type="gram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gram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az</w:t>
      </w:r>
      <w:proofErr w:type="gram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itt található információk és adatok, lépjen kapcsolatba 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Scope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Ratings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GmbH-val a </w:t>
      </w:r>
      <w:proofErr w:type="spellStart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>Lennéstraße</w:t>
      </w:r>
      <w:proofErr w:type="spellEnd"/>
      <w:r w:rsidRPr="00FC39AB">
        <w:rPr>
          <w:rFonts w:ascii="Arial" w:eastAsia="Times New Roman" w:hAnsi="Arial" w:cs="Arial"/>
          <w:color w:val="6A6A6A"/>
          <w:sz w:val="17"/>
          <w:szCs w:val="17"/>
          <w:lang w:eastAsia="hu-HU"/>
        </w:rPr>
        <w:t xml:space="preserve"> 5 D-10785 Berlin címen.</w:t>
      </w:r>
    </w:p>
    <w:p w:rsidR="00FF64FD" w:rsidRDefault="00FF64FD">
      <w:bookmarkStart w:id="0" w:name="_GoBack"/>
      <w:bookmarkEnd w:id="0"/>
    </w:p>
    <w:sectPr w:rsidR="00FF64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48" w:rsidRDefault="00B50B48" w:rsidP="00FD6C72">
      <w:pPr>
        <w:spacing w:after="0" w:line="240" w:lineRule="auto"/>
      </w:pPr>
      <w:r>
        <w:separator/>
      </w:r>
    </w:p>
  </w:endnote>
  <w:endnote w:type="continuationSeparator" w:id="0">
    <w:p w:rsidR="00B50B48" w:rsidRDefault="00B50B48" w:rsidP="00FD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C72" w:rsidRDefault="00FD6C72">
    <w:pPr>
      <w:pStyle w:val="llb"/>
      <w:rPr>
        <w:sz w:val="18"/>
        <w:szCs w:val="18"/>
      </w:rPr>
    </w:pPr>
    <w:r>
      <w:rPr>
        <w:sz w:val="18"/>
        <w:szCs w:val="18"/>
      </w:rPr>
      <w:t>Lexholding Befektető Zártkörűen Működő Részvénytársaság</w:t>
    </w:r>
  </w:p>
  <w:p w:rsidR="00FD6C72" w:rsidRDefault="00FD6C72">
    <w:pPr>
      <w:pStyle w:val="llb"/>
      <w:rPr>
        <w:sz w:val="18"/>
        <w:szCs w:val="18"/>
      </w:rPr>
    </w:pPr>
    <w:r>
      <w:rPr>
        <w:sz w:val="18"/>
        <w:szCs w:val="18"/>
      </w:rPr>
      <w:t>1027 Budapest, Csalogány utca 23-33. I Adószám: 12045266-4-4 I Csoport azonosító szám: 17780735-5-41</w:t>
    </w:r>
  </w:p>
  <w:p w:rsidR="00FD6C72" w:rsidRPr="00FD6C72" w:rsidRDefault="00FD6C72">
    <w:pPr>
      <w:pStyle w:val="llb"/>
      <w:rPr>
        <w:sz w:val="18"/>
        <w:szCs w:val="18"/>
      </w:rPr>
    </w:pPr>
    <w:r>
      <w:rPr>
        <w:sz w:val="18"/>
        <w:szCs w:val="18"/>
      </w:rPr>
      <w:t>BÁV I FŐTAXI I INFORG</w:t>
    </w:r>
  </w:p>
  <w:p w:rsidR="00FD6C72" w:rsidRDefault="00FD6C72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77B53F4" wp14:editId="31509839">
          <wp:simplePos x="0" y="0"/>
          <wp:positionH relativeFrom="page">
            <wp:align>left</wp:align>
          </wp:positionH>
          <wp:positionV relativeFrom="paragraph">
            <wp:posOffset>281940</wp:posOffset>
          </wp:positionV>
          <wp:extent cx="7872275" cy="32383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V_Zalog_2021_A4papir_vizje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7" t="97106" r="257" b="16"/>
                  <a:stretch/>
                </pic:blipFill>
                <pic:spPr bwMode="auto">
                  <a:xfrm>
                    <a:off x="0" y="0"/>
                    <a:ext cx="7872275" cy="323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48" w:rsidRDefault="00B50B48" w:rsidP="00FD6C72">
      <w:pPr>
        <w:spacing w:after="0" w:line="240" w:lineRule="auto"/>
      </w:pPr>
      <w:r>
        <w:separator/>
      </w:r>
    </w:p>
  </w:footnote>
  <w:footnote w:type="continuationSeparator" w:id="0">
    <w:p w:rsidR="00B50B48" w:rsidRDefault="00B50B48" w:rsidP="00FD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C72" w:rsidRDefault="00FD6C72">
    <w:pPr>
      <w:pStyle w:val="lfej"/>
    </w:pPr>
    <w:r>
      <w:rPr>
        <w:noProof/>
        <w:lang w:eastAsia="hu-HU"/>
      </w:rPr>
      <w:drawing>
        <wp:inline distT="0" distB="0" distL="0" distR="0">
          <wp:extent cx="1704975" cy="384296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XHolding_202111_Logo_color_po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67" cy="397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56B6E"/>
    <w:multiLevelType w:val="multilevel"/>
    <w:tmpl w:val="3AC4DC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72"/>
    <w:rsid w:val="003E6003"/>
    <w:rsid w:val="004727F0"/>
    <w:rsid w:val="009A6772"/>
    <w:rsid w:val="00B50B48"/>
    <w:rsid w:val="00D51B4F"/>
    <w:rsid w:val="00FD6C72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E0C98"/>
  <w15:chartTrackingRefBased/>
  <w15:docId w15:val="{3ED1B9EE-F8AF-41F7-9302-E92D07B4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60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C72"/>
  </w:style>
  <w:style w:type="paragraph" w:styleId="llb">
    <w:name w:val="footer"/>
    <w:basedOn w:val="Norml"/>
    <w:link w:val="llbChar"/>
    <w:uiPriority w:val="99"/>
    <w:unhideWhenUsed/>
    <w:rsid w:val="00FD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C72"/>
  </w:style>
  <w:style w:type="character" w:styleId="Hiperhivatkozs">
    <w:name w:val="Hyperlink"/>
    <w:basedOn w:val="Bekezdsalapbettpusa"/>
    <w:uiPriority w:val="99"/>
    <w:unhideWhenUsed/>
    <w:rsid w:val="009A6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1811</Words>
  <Characters>12501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Perdi Petra</dc:creator>
  <cp:keywords/>
  <dc:description/>
  <cp:lastModifiedBy>Gábor Lili</cp:lastModifiedBy>
  <cp:revision>2</cp:revision>
  <dcterms:created xsi:type="dcterms:W3CDTF">2023-06-13T14:07:00Z</dcterms:created>
  <dcterms:modified xsi:type="dcterms:W3CDTF">2023-06-13T14:07:00Z</dcterms:modified>
</cp:coreProperties>
</file>